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5" w:rsidRDefault="00566905">
      <w:pPr>
        <w:pStyle w:val="af7"/>
        <w:jc w:val="right"/>
        <w:rPr>
          <w:rFonts w:ascii="Times New Roman" w:hAnsi="Times New Roman" w:cs="Times New Roman"/>
          <w:lang w:eastAsia="ru-RU"/>
        </w:rPr>
      </w:pPr>
    </w:p>
    <w:p w:rsidR="00566905" w:rsidRDefault="00566905">
      <w:pPr>
        <w:pStyle w:val="af7"/>
        <w:jc w:val="right"/>
        <w:rPr>
          <w:rFonts w:ascii="Times New Roman" w:hAnsi="Times New Roman" w:cs="Times New Roman"/>
          <w:lang w:eastAsia="ru-RU"/>
        </w:rPr>
      </w:pPr>
    </w:p>
    <w:p w:rsidR="00566905" w:rsidRDefault="00566905">
      <w:pPr>
        <w:pStyle w:val="af7"/>
        <w:jc w:val="right"/>
        <w:rPr>
          <w:rFonts w:ascii="Times New Roman" w:hAnsi="Times New Roman" w:cs="Times New Roman"/>
          <w:lang w:eastAsia="ru-RU"/>
        </w:rPr>
      </w:pPr>
    </w:p>
    <w:p w:rsidR="00566905" w:rsidRDefault="00385605">
      <w:pPr>
        <w:pStyle w:val="af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ООО «Варикоза нет»</w:t>
      </w:r>
    </w:p>
    <w:p w:rsidR="00566905" w:rsidRDefault="00CE68F8">
      <w:pPr>
        <w:pStyle w:val="af7"/>
        <w:jc w:val="right"/>
        <w:rPr>
          <w:rFonts w:ascii="Times New Roman" w:hAnsi="Times New Roman" w:cs="Times New Roman"/>
          <w:color w:val="FFFFFF"/>
          <w:lang w:eastAsia="ru-RU"/>
        </w:rPr>
      </w:pPr>
      <w:r>
        <w:rPr>
          <w:rFonts w:ascii="Times New Roman" w:hAnsi="Times New Roman" w:cs="Times New Roman"/>
          <w:lang w:eastAsia="ru-RU"/>
        </w:rPr>
        <w:t>Саблина Н.И.</w:t>
      </w:r>
    </w:p>
    <w:p w:rsidR="00566905" w:rsidRDefault="005669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66905" w:rsidRDefault="003856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Правила поведения в ООО«Варикоза нет».</w:t>
      </w:r>
    </w:p>
    <w:p w:rsidR="00566905" w:rsidRDefault="0038560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Общие положения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1.1. Правила поведения в  ООО «Варикоза нет» для пациентов и иных посетителей (далее по тексту – Правила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являются организационно-правовым документом, регламентирующим нормы поведения в ООО «Варикоза нет» (далее по тексту – Клиника) при получении медицинских услуг с целью реализации прав пациента, создания благоприятных условий для получения пациентом квалиф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 Клиники.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1.2. Настоящие Правила разработаны в соответствии с Федеральными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законами Российской Федерации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«О персональных данных», Постановлением Правительства РФ «Об утверждении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равил предоставления медицинскими организациями платных медицинских услуг», Гражданским кодексом Российской Федерации, Кодексом Российской Федерации об административных правонарушениях, иными нормативными актами.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1.3. Соблюдение настоящих Правил является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бязательным для всех пациентов и посетителей Клиники.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1.4. Настоящие Правила размещаются для всеобщего ознакомления на информационных стендах Клиники и на сайте Клиники в сети «Интернет»</w:t>
      </w:r>
    </w:p>
    <w:p w:rsidR="00566905" w:rsidRDefault="0056690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66905" w:rsidRDefault="0038560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Общие правила поведения</w:t>
      </w:r>
    </w:p>
    <w:p w:rsidR="00566905" w:rsidRDefault="003856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2.1 Пациенты и посетители обязаны: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входе в помещения Клиники надеть бахилы или переобуться в сменную обувь, снять верхнюю одежду;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2.1.2</w:t>
      </w:r>
      <w:r w:rsidR="00CE68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наличии простудных заболеваний надеть маску;</w:t>
      </w:r>
    </w:p>
    <w:p w:rsidR="00566905" w:rsidRDefault="00CE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2.1.3 </w:t>
      </w:r>
      <w:r w:rsidR="0038560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чистоту и тишину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5605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кабинетах и коридорах Клиники, отключать звук мобильных телефонов и и</w:t>
      </w:r>
      <w:r w:rsidR="00385605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устройств при нахождении в помещениях Клиники;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2.1.4 Бережно относиться к имуществу Клиники, в случае причинения ущерба возмещать его;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2.1.5 Вежливо общаться с медицинским и прочим персоналом Клиники;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2.1.6 Проявлять доброжелательное и вежливое отношен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 к другим пациентам, соблюдать очерёдность, не предпринимать действий, способных нарушить права других пациентов, посетителей и работников Клиники;</w:t>
      </w:r>
    </w:p>
    <w:p w:rsidR="00566905" w:rsidRDefault="00CE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2.1.7 </w:t>
      </w:r>
      <w:r w:rsidR="0038560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Посещать медицинские кабинеты и врачей по предварительной записи в соответствии с установленным граф</w:t>
      </w:r>
      <w:r w:rsidR="00385605">
        <w:rPr>
          <w:rFonts w:ascii="Times New Roman" w:eastAsia="Times New Roman" w:hAnsi="Times New Roman" w:cs="Times New Roman"/>
          <w:sz w:val="24"/>
          <w:szCs w:val="28"/>
          <w:lang w:eastAsia="ru-RU"/>
        </w:rPr>
        <w:t>иком их работы;</w:t>
      </w:r>
    </w:p>
    <w:p w:rsidR="00566905" w:rsidRDefault="00CE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2.1.8 </w:t>
      </w:r>
      <w:r w:rsidR="00385605">
        <w:rPr>
          <w:rFonts w:ascii="Times New Roman" w:eastAsia="Times New Roman" w:hAnsi="Times New Roman" w:cs="Times New Roman"/>
          <w:sz w:val="24"/>
          <w:szCs w:val="28"/>
          <w:lang w:eastAsia="ru-RU"/>
        </w:rPr>
        <w:t>Заходить в кабинет только по приглашению медицинского персонала или по информированию администратора;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2.1.9 Количество сопровождающих лиц не должно превышать одного человека только с разрешения лечащего врача и при условии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всех его указаний;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2.1.10</w:t>
      </w:r>
      <w:r w:rsidR="00CE68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требования пожарной безопасности в помещениях и на всей территории Клиники;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2.1.11Незамедлительно информировать медицинский или прочий персонал Клиники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обнаружении источников пожара и прочих источников угрожающих общественной безопасности;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2.1.12Соблюдать иные обязанности граждан в сфере охраны здоровья, установленные федеральным законодательством РФ.</w:t>
      </w:r>
    </w:p>
    <w:p w:rsidR="00566905" w:rsidRDefault="0056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905" w:rsidRDefault="003856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Запрещается: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Курение, распитие спиртных напитков, употребление ненормативной лексики, наркотических средств, психотропных и токсических веществ в помещениях и на территории Клиники;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2.2.2 Доступ в здание и помещения лицам в состоянии алкогольного или наркотического опь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янения, с агрессивным поведением, имеющим внешний вид, не отвечающим санитарно-гигиеническим требованиям. Исключение – необходимость экстренной и неотложной медицинской помощи.  В случае выявления указанных лиц они удаляются из здания и помещений Клиники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отрудниками охраны и (или) правоохранительных органов;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2.2.3 Проносить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или их примен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ение (использование) может представлять угрозу для безопасности окружающих;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2.2.4 Применять в помещениях и на территории Клиники пиротехнические средств (петарды, фейерверки, хлопушки и т.п.);         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2.2.5 Иметь при себе крупногабаритные предметы (в т.ч.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хозяйственные сумки, рюкзаки, вещевые мешки, чемоданы, корзины и т.п.);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2.2.6 Находиться в служебных помещениях Клиники без разрешения;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2.2.7 Употреблять пищу в коридорах, на лестничных маршах и других помещениях;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2.2.8 Посещать Клинику с домашними животн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ыми;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2.2.9 Производить подзарядку мобильных устройств в помещениях Клиники;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2.2.10 Оставлять малолетних детей без присмотра на всей территории Клиники, грудных детей на пеленальном столике, что может привести к падению и тяжёлой травме;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2.2.11 Выносить из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помещения Клиники без официального разрешения документы, полученные для ознакомления;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2.2.12 Изымать результаты обследования из медицинской карты, информацию со стендов;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2.2.13 Размещать в помещениях и на территории Клиники объявления, рекламные материалы;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2.2.14 Производить фото- и видеосъёмку без предварительного разрешения администрации Клиники;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2.2.15 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2.2.16 Преграждать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оезд транспорта к зданию Клиники;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2.2.17 Громко разговаривать, шуметь, хлопать дверьми;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2.2.18 Пользоваться служебными телефонами;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2.2.19 Выбрасывать мусор, отходы в непредназначенные для этого места;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2.2.20 Пользоваться мобильной связью при нахождении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приёме у врача, во время выполнения процедур, манипуляций, обследований.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2.2.21 Оставлять в гардеробе в верхней одежде деньги, ценные вещи. Администрация Клиники за сохранность денег и ценных вещей, оставленных в гардеробе, ответственности не несёт.</w:t>
      </w:r>
    </w:p>
    <w:p w:rsidR="00566905" w:rsidRDefault="0056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905" w:rsidRDefault="003856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Правила поведения при обращении за медицинской помощью.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 При первичном обращении в Клинику</w:t>
      </w:r>
      <w:r w:rsidR="00CE68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пациенты и посетители обязаны: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3.1.1Ознакомиться с Правилами поведения в ООО «Варикоза нет», наличием врачей-специалистов, видами оказываемой медицинской помощи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графиком работы Клиники, прейскурантом и прочей документацией, расположенной на информационном стенде;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3.1.2. Предъявить оригиналы следующих документов: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паспорт гражданина Российской Федерации или временное удостоверение личности гражданина Российской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Федерации, выдаваемое на период оформления паспорта;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для представителя гражданина, в том числе законного: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документ, удостоверяющий личность, и документ, подтверждающий полномочия представителя;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3.1.3 Подписать уведомление о последствиях несоблюдения указаний (рекомендаций) медицинских работников;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3.1.4 Подтвердить подписью информирование о возможности получения медицинской помощи бесплатно в рамках программы гос. гарантий.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3.1.5 Дать информирован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добровольное согласие на выполнение диагностических исследований, лечебных мероприятий или на отказ от медицинского вмешательства. Медицинское вмешательство без согласия гражданина или иного законного представителя допускается: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1) если медицинское вмеш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2) в отношении лиц, страдающих заболеваниями, представляющими опасность для окру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жающих;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3) в отношении лиц, страдающих тяжелыми психическими расстройствами;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4) в отношении лиц, совершивших общественно опасные деяния (преступления);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5) при проведении судебно-медицинской экспертизы и (или) судебно-психиатрической экспертизы.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3.1.6 Подпи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сать договор об оказании платных медицинских услуг;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3.1.7 После информирования врачом, подписать информированное добровольное согласие на проведение медицинского вмешательства или отказаться от медицинского вмешательства. В случае отказа пациента информиру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ют о возможных последствиях, что фиксируется в амбулаторной карте. Свой отказ пациент должен подписать лично;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3.1.7 При обращении в Клинику обязательно оформляется медицинская карта амбулаторного больного. Медицинская карта является собственностью Клиники</w:t>
      </w:r>
    </w:p>
    <w:p w:rsidR="00566905" w:rsidRDefault="0056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При повторном и последующих обращениях пациенты и посетители обязаны: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3.2.1 За10-15 минут до назначенного времени приёма лечащим врачом обратиться в регистратуру;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3.2.2 При каждом посещении Клиники предъявить паспорт гражданина Российской Федерации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 временное удостоверение личности гражданина Российской Федерации, выдаваемое на период оформления паспорта;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3.2.3 Заблаговременно предупредить работника регистратуры </w:t>
      </w:r>
      <w:r w:rsidRPr="00CE68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телефону </w:t>
      </w:r>
      <w:r w:rsidR="00CE68F8">
        <w:rPr>
          <w:rFonts w:ascii="Times New Roman" w:eastAsia="Times New Roman" w:hAnsi="Times New Roman" w:cs="Times New Roman"/>
          <w:sz w:val="24"/>
          <w:szCs w:val="28"/>
          <w:lang w:eastAsia="ru-RU"/>
        </w:rPr>
        <w:t>(4112) 319-019</w:t>
      </w:r>
      <w:r w:rsidRPr="00CE68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возможном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опоздании, в случае неявки на приём – известить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акануне;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3.2.4 При опоздании на приём, сотрудники Клиники имеют право перенести время приёма или назначить приём на другой день;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3.2.5 Пациенты, обратившиеся в Клинику с целью планового посещения без предварительной записи на приём, могут быть приняты в 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нь обращения только при наличии у врачей свободного времени в записи. При отсутствии данного условия сотрудники Клиники имеют право назначить приём на другой день.</w:t>
      </w:r>
    </w:p>
    <w:p w:rsidR="00566905" w:rsidRDefault="00566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66905" w:rsidRDefault="003856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Ответственность за нарушение Правил:</w:t>
      </w:r>
    </w:p>
    <w:p w:rsidR="00566905" w:rsidRDefault="0038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 Пациент несет ответственность за последствия,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завершения в срок или отрицательно сказаться на состоянии здоровья пациента.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4.2. В случае нарушения пациентом и иными посетителями настоящих Правил, работники Клиники вправе делать им соответствующие замечания, вызвать наряд полиции и применять иные мер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Клиники сотруд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никами правоохранительных органов.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4.3. 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линики, причинение морального вреда работникам Клиники, причинение вреда деловой репутации, а также материального ущерба имуществу Клиники, влечет ответственность, предусмотренную законодательством Российской Федерации.</w:t>
      </w:r>
    </w:p>
    <w:p w:rsidR="00566905" w:rsidRDefault="0056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6905" w:rsidRDefault="0056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566905" w:rsidSect="005669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05" w:rsidRDefault="00385605">
      <w:pPr>
        <w:spacing w:after="0" w:line="240" w:lineRule="auto"/>
      </w:pPr>
      <w:r>
        <w:separator/>
      </w:r>
    </w:p>
  </w:endnote>
  <w:endnote w:type="continuationSeparator" w:id="1">
    <w:p w:rsidR="00385605" w:rsidRDefault="0038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05" w:rsidRDefault="00385605">
      <w:pPr>
        <w:spacing w:after="0" w:line="240" w:lineRule="auto"/>
      </w:pPr>
      <w:r>
        <w:separator/>
      </w:r>
    </w:p>
  </w:footnote>
  <w:footnote w:type="continuationSeparator" w:id="1">
    <w:p w:rsidR="00385605" w:rsidRDefault="00385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05"/>
    <w:rsid w:val="00385605"/>
    <w:rsid w:val="00566905"/>
    <w:rsid w:val="00CE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6690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6690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56690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669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6690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669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6690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669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6690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669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669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669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6690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669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669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6690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6690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690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6690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690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6690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6690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669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6690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669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66905"/>
  </w:style>
  <w:style w:type="paragraph" w:customStyle="1" w:styleId="Footer">
    <w:name w:val="Footer"/>
    <w:basedOn w:val="a"/>
    <w:link w:val="CaptionChar"/>
    <w:uiPriority w:val="99"/>
    <w:unhideWhenUsed/>
    <w:rsid w:val="005669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6690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6690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66905"/>
  </w:style>
  <w:style w:type="table" w:styleId="aa">
    <w:name w:val="Table Grid"/>
    <w:basedOn w:val="a1"/>
    <w:uiPriority w:val="59"/>
    <w:rsid w:val="005669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669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669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66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669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66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566905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66905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566905"/>
    <w:rPr>
      <w:sz w:val="18"/>
    </w:rPr>
  </w:style>
  <w:style w:type="character" w:styleId="ae">
    <w:name w:val="footnote reference"/>
    <w:basedOn w:val="a0"/>
    <w:uiPriority w:val="99"/>
    <w:unhideWhenUsed/>
    <w:rsid w:val="0056690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66905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66905"/>
    <w:rPr>
      <w:sz w:val="20"/>
    </w:rPr>
  </w:style>
  <w:style w:type="character" w:styleId="af1">
    <w:name w:val="endnote reference"/>
    <w:basedOn w:val="a0"/>
    <w:uiPriority w:val="99"/>
    <w:semiHidden/>
    <w:unhideWhenUsed/>
    <w:rsid w:val="0056690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66905"/>
    <w:pPr>
      <w:spacing w:after="57"/>
    </w:pPr>
  </w:style>
  <w:style w:type="paragraph" w:styleId="21">
    <w:name w:val="toc 2"/>
    <w:basedOn w:val="a"/>
    <w:next w:val="a"/>
    <w:uiPriority w:val="39"/>
    <w:unhideWhenUsed/>
    <w:rsid w:val="0056690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6690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6690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6690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6690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6690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6690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66905"/>
    <w:pPr>
      <w:spacing w:after="57"/>
      <w:ind w:left="2268"/>
    </w:pPr>
  </w:style>
  <w:style w:type="paragraph" w:styleId="af2">
    <w:name w:val="TOC Heading"/>
    <w:uiPriority w:val="39"/>
    <w:unhideWhenUsed/>
    <w:rsid w:val="00566905"/>
  </w:style>
  <w:style w:type="paragraph" w:styleId="af3">
    <w:name w:val="table of figures"/>
    <w:basedOn w:val="a"/>
    <w:next w:val="a"/>
    <w:uiPriority w:val="99"/>
    <w:unhideWhenUsed/>
    <w:rsid w:val="00566905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56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566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566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56690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566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566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semiHidden/>
    <w:unhideWhenUsed/>
    <w:rsid w:val="0056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6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66905"/>
    <w:rPr>
      <w:rFonts w:ascii="Segoe UI" w:hAnsi="Segoe UI" w:cs="Segoe UI"/>
      <w:sz w:val="18"/>
      <w:szCs w:val="18"/>
    </w:rPr>
  </w:style>
  <w:style w:type="paragraph" w:styleId="af7">
    <w:name w:val="No Spacing"/>
    <w:uiPriority w:val="1"/>
    <w:qFormat/>
    <w:rsid w:val="00566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1530</Words>
  <Characters>8724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Admin</cp:lastModifiedBy>
  <cp:revision>4</cp:revision>
  <dcterms:created xsi:type="dcterms:W3CDTF">2022-04-04T03:48:00Z</dcterms:created>
  <dcterms:modified xsi:type="dcterms:W3CDTF">2022-04-20T04:05:00Z</dcterms:modified>
</cp:coreProperties>
</file>